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F8" w:rsidRDefault="00A538F8" w:rsidP="00A538F8">
      <w:pPr>
        <w:spacing w:after="0"/>
        <w:jc w:val="right"/>
        <w:rPr>
          <w:sz w:val="26"/>
          <w:szCs w:val="26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5779EE" wp14:editId="17ED7B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64885" cy="1188720"/>
                <wp:effectExtent l="5080" t="10160" r="6985" b="1079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11887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8F8" w:rsidRPr="002732E6" w:rsidRDefault="00A538F8" w:rsidP="00A538F8">
                            <w:pPr>
                              <w:pStyle w:val="Contenuducadre"/>
                              <w:shd w:val="clear" w:color="auto" w:fill="CCCCCC"/>
                              <w:spacing w:line="100" w:lineRule="atLeast"/>
                              <w:jc w:val="center"/>
                              <w:rPr>
                                <w:rFonts w:ascii="Verdana" w:hAnsi="Verdana"/>
                                <w:color w:val="666666"/>
                                <w:sz w:val="32"/>
                                <w:szCs w:val="32"/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Verdana" w:hAnsi="Verdana"/>
                                <w:color w:val="666666"/>
                                <w:sz w:val="32"/>
                                <w:szCs w:val="32"/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QUESTION ORALE</w:t>
                            </w:r>
                          </w:p>
                          <w:p w:rsidR="00A538F8" w:rsidRPr="002732E6" w:rsidRDefault="00A538F8" w:rsidP="00A538F8">
                            <w:pPr>
                              <w:pStyle w:val="Contenuducadre"/>
                              <w:shd w:val="clear" w:color="auto" w:fill="CCCCCC"/>
                              <w:spacing w:line="100" w:lineRule="atLeast"/>
                              <w:jc w:val="center"/>
                              <w:rPr>
                                <w:rFonts w:ascii="Verdana" w:hAnsi="Verdana"/>
                                <w:color w:val="666666"/>
                                <w:sz w:val="12"/>
                                <w:szCs w:val="13"/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538F8" w:rsidRDefault="00A538F8" w:rsidP="00A538F8">
                            <w:pPr>
                              <w:pStyle w:val="Contenuducadre"/>
                              <w:shd w:val="clear" w:color="auto" w:fill="E6E6E6"/>
                              <w:jc w:val="right"/>
                              <w:rPr>
                                <w:color w:val="333333"/>
                                <w:sz w:val="12"/>
                                <w:szCs w:val="13"/>
                              </w:rPr>
                            </w:pPr>
                          </w:p>
                          <w:p w:rsidR="00A538F8" w:rsidRDefault="00A538F8" w:rsidP="00A538F8">
                            <w:pPr>
                              <w:pStyle w:val="Contenuducadre"/>
                              <w:shd w:val="clear" w:color="auto" w:fill="E6E6E6"/>
                              <w:jc w:val="right"/>
                              <w:rPr>
                                <w:rFonts w:ascii="Verdana" w:hAnsi="Verdana"/>
                                <w:color w:val="333333"/>
                                <w:sz w:val="26"/>
                                <w:szCs w:val="26"/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24"/>
                                <w:u w:val="none"/>
                              </w:rPr>
                              <w:t>Madame la Députée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26"/>
                                <w:szCs w:val="26"/>
                                <w:u w:val="none"/>
                              </w:rPr>
                              <w:t xml:space="preserve">  Véronique Bonni</w:t>
                            </w:r>
                          </w:p>
                          <w:p w:rsidR="00A538F8" w:rsidRDefault="00A538F8" w:rsidP="00A538F8">
                            <w:pPr>
                              <w:pStyle w:val="Contenuducadre"/>
                              <w:shd w:val="clear" w:color="auto" w:fill="E6E6E6"/>
                              <w:jc w:val="right"/>
                              <w:rPr>
                                <w:color w:val="333333"/>
                                <w:sz w:val="16"/>
                                <w:szCs w:val="17"/>
                              </w:rPr>
                            </w:pPr>
                          </w:p>
                          <w:p w:rsidR="00A538F8" w:rsidRDefault="00A538F8" w:rsidP="00A538F8">
                            <w:pPr>
                              <w:pStyle w:val="Contenuducadre"/>
                              <w:shd w:val="clear" w:color="auto" w:fill="E6E6E6"/>
                              <w:jc w:val="right"/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 xml:space="preserve"> Madame la Ministre, Joëlle Milquet, en charge de l’Education, de la culture et de l’enfance</w:t>
                            </w:r>
                          </w:p>
                          <w:p w:rsidR="00A538F8" w:rsidRDefault="00A538F8" w:rsidP="00A538F8">
                            <w:pPr>
                              <w:pStyle w:val="Contenuducadre"/>
                              <w:shd w:val="clear" w:color="auto" w:fill="E6E6E6"/>
                              <w:jc w:val="right"/>
                              <w:rPr>
                                <w:rFonts w:ascii="Verdana" w:hAnsi="Verdana"/>
                                <w:color w:val="4C4C4C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779E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477.55pt;height:93.6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" fillcolor="#e6e6e6" strokecolor="gray" strokeweight=".05pt">
                <v:textbox inset="1.4pt,1.4pt,1.4pt,1.4pt">
                  <w:txbxContent>
                    <w:p w:rsidR="00A538F8" w:rsidRPr="002732E6" w:rsidRDefault="00A538F8" w:rsidP="00A538F8">
                      <w:pPr>
                        <w:pStyle w:val="Contenuducadre"/>
                        <w:shd w:val="clear" w:color="auto" w:fill="CCCCCC"/>
                        <w:spacing w:line="100" w:lineRule="atLeast"/>
                        <w:jc w:val="center"/>
                        <w:rPr>
                          <w:rFonts w:ascii="Verdana" w:hAnsi="Verdana"/>
                          <w:color w:val="666666"/>
                          <w:sz w:val="32"/>
                          <w:szCs w:val="32"/>
                          <w:u w:val="non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Verdana" w:hAnsi="Verdana"/>
                          <w:color w:val="666666"/>
                          <w:sz w:val="32"/>
                          <w:szCs w:val="32"/>
                          <w:u w:val="non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QUESTION ORALE</w:t>
                      </w:r>
                    </w:p>
                    <w:p w:rsidR="00A538F8" w:rsidRPr="002732E6" w:rsidRDefault="00A538F8" w:rsidP="00A538F8">
                      <w:pPr>
                        <w:pStyle w:val="Contenuducadre"/>
                        <w:shd w:val="clear" w:color="auto" w:fill="CCCCCC"/>
                        <w:spacing w:line="100" w:lineRule="atLeast"/>
                        <w:jc w:val="center"/>
                        <w:rPr>
                          <w:rFonts w:ascii="Verdana" w:hAnsi="Verdana"/>
                          <w:color w:val="666666"/>
                          <w:sz w:val="12"/>
                          <w:szCs w:val="13"/>
                          <w:u w:val="non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38F8" w:rsidRDefault="00A538F8" w:rsidP="00A538F8">
                      <w:pPr>
                        <w:pStyle w:val="Contenuducadre"/>
                        <w:shd w:val="clear" w:color="auto" w:fill="E6E6E6"/>
                        <w:jc w:val="right"/>
                        <w:rPr>
                          <w:color w:val="333333"/>
                          <w:sz w:val="12"/>
                          <w:szCs w:val="13"/>
                        </w:rPr>
                      </w:pPr>
                    </w:p>
                    <w:p w:rsidR="00A538F8" w:rsidRDefault="00A538F8" w:rsidP="00A538F8">
                      <w:pPr>
                        <w:pStyle w:val="Contenuducadre"/>
                        <w:shd w:val="clear" w:color="auto" w:fill="E6E6E6"/>
                        <w:jc w:val="right"/>
                        <w:rPr>
                          <w:rFonts w:ascii="Verdana" w:hAnsi="Verdana"/>
                          <w:color w:val="333333"/>
                          <w:sz w:val="26"/>
                          <w:szCs w:val="26"/>
                          <w:u w:val="none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u w:val="none"/>
                        </w:rPr>
                        <w:t>de</w:t>
                      </w:r>
                      <w:proofErr w:type="gramEnd"/>
                      <w:r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333333"/>
                          <w:sz w:val="24"/>
                          <w:u w:val="none"/>
                        </w:rPr>
                        <w:t>Madame la Députée</w:t>
                      </w:r>
                      <w:r>
                        <w:rPr>
                          <w:rFonts w:ascii="Verdana" w:hAnsi="Verdana"/>
                          <w:color w:val="333333"/>
                          <w:sz w:val="26"/>
                          <w:szCs w:val="26"/>
                          <w:u w:val="none"/>
                        </w:rPr>
                        <w:t xml:space="preserve">  Véronique Bonni</w:t>
                      </w:r>
                    </w:p>
                    <w:p w:rsidR="00A538F8" w:rsidRDefault="00A538F8" w:rsidP="00A538F8">
                      <w:pPr>
                        <w:pStyle w:val="Contenuducadre"/>
                        <w:shd w:val="clear" w:color="auto" w:fill="E6E6E6"/>
                        <w:jc w:val="right"/>
                        <w:rPr>
                          <w:color w:val="333333"/>
                          <w:sz w:val="16"/>
                          <w:szCs w:val="17"/>
                        </w:rPr>
                      </w:pPr>
                    </w:p>
                    <w:p w:rsidR="00A538F8" w:rsidRDefault="00A538F8" w:rsidP="00A538F8">
                      <w:pPr>
                        <w:pStyle w:val="Contenuducadre"/>
                        <w:shd w:val="clear" w:color="auto" w:fill="E6E6E6"/>
                        <w:jc w:val="right"/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u w:val="none"/>
                        </w:rPr>
                        <w:t>à</w:t>
                      </w:r>
                      <w:proofErr w:type="gramEnd"/>
                      <w:r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u w:val="none"/>
                        </w:rPr>
                        <w:t xml:space="preserve"> Madame la Ministre, Joëlle Milquet, en charge de l’Education, de la culture et de l’enfance</w:t>
                      </w:r>
                    </w:p>
                    <w:p w:rsidR="00A538F8" w:rsidRDefault="00A538F8" w:rsidP="00A538F8">
                      <w:pPr>
                        <w:pStyle w:val="Contenuducadre"/>
                        <w:shd w:val="clear" w:color="auto" w:fill="E6E6E6"/>
                        <w:jc w:val="right"/>
                        <w:rPr>
                          <w:rFonts w:ascii="Verdana" w:hAnsi="Verdana"/>
                          <w:color w:val="4C4C4C"/>
                          <w:sz w:val="20"/>
                          <w:szCs w:val="20"/>
                          <w:u w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8F8" w:rsidRDefault="00A538F8" w:rsidP="00A538F8">
      <w:pPr>
        <w:spacing w:after="0"/>
        <w:rPr>
          <w:sz w:val="26"/>
          <w:szCs w:val="26"/>
        </w:rPr>
      </w:pPr>
    </w:p>
    <w:p w:rsidR="00A538F8" w:rsidRDefault="00A538F8" w:rsidP="00A538F8">
      <w:pPr>
        <w:spacing w:after="0"/>
        <w:rPr>
          <w:sz w:val="26"/>
          <w:szCs w:val="26"/>
          <w:shd w:val="clear" w:color="auto" w:fill="FFFF00"/>
        </w:rPr>
      </w:pPr>
    </w:p>
    <w:p w:rsidR="00A538F8" w:rsidRDefault="00A538F8" w:rsidP="00A538F8">
      <w:pPr>
        <w:spacing w:after="0"/>
        <w:jc w:val="right"/>
        <w:rPr>
          <w:rFonts w:ascii="Verdana" w:hAnsi="Verdana"/>
          <w:b/>
          <w:bCs/>
          <w:sz w:val="18"/>
          <w:szCs w:val="26"/>
          <w:shd w:val="clear" w:color="auto" w:fill="FFFF00"/>
          <w:lang w:val="fr-BE"/>
        </w:rPr>
      </w:pPr>
    </w:p>
    <w:p w:rsidR="00A538F8" w:rsidRDefault="00223A7D" w:rsidP="00A538F8">
      <w:pPr>
        <w:spacing w:after="0"/>
        <w:jc w:val="right"/>
        <w:rPr>
          <w:rFonts w:ascii="Verdana" w:hAnsi="Verdana"/>
          <w:b/>
          <w:bCs/>
          <w:sz w:val="18"/>
          <w:szCs w:val="26"/>
          <w:lang w:val="fr-BE"/>
        </w:rPr>
      </w:pPr>
      <w:r>
        <w:rPr>
          <w:rFonts w:ascii="Verdana" w:hAnsi="Verdana"/>
          <w:b/>
          <w:bCs/>
          <w:sz w:val="18"/>
          <w:szCs w:val="26"/>
          <w:lang w:val="fr-BE"/>
        </w:rPr>
        <w:t>DATE 25</w:t>
      </w:r>
      <w:r w:rsidR="00A538F8">
        <w:rPr>
          <w:rFonts w:ascii="Verdana" w:hAnsi="Verdana"/>
          <w:b/>
          <w:bCs/>
          <w:sz w:val="18"/>
          <w:szCs w:val="26"/>
          <w:lang w:val="fr-BE"/>
        </w:rPr>
        <w:t xml:space="preserve"> janvier 2016</w:t>
      </w:r>
    </w:p>
    <w:p w:rsidR="00A538F8" w:rsidRDefault="00A538F8" w:rsidP="00A538F8">
      <w:pPr>
        <w:spacing w:after="0"/>
        <w:rPr>
          <w:rFonts w:ascii="Verdana" w:hAnsi="Verdana"/>
          <w:b/>
          <w:bCs/>
          <w:sz w:val="26"/>
          <w:szCs w:val="26"/>
          <w:lang w:val="fr-BE"/>
        </w:rPr>
      </w:pPr>
    </w:p>
    <w:p w:rsidR="00A538F8" w:rsidRDefault="00A538F8" w:rsidP="00A538F8">
      <w:pPr>
        <w:spacing w:after="0"/>
        <w:rPr>
          <w:rFonts w:ascii="Verdana" w:hAnsi="Verdana"/>
          <w:b/>
          <w:bCs/>
          <w:i/>
          <w:iCs/>
          <w:color w:val="4C4C4C"/>
          <w:sz w:val="32"/>
          <w:szCs w:val="32"/>
          <w:lang w:val="fr-BE"/>
        </w:rPr>
      </w:pPr>
      <w:r>
        <w:rPr>
          <w:rFonts w:ascii="Verdana" w:hAnsi="Verdana"/>
          <w:b/>
          <w:bCs/>
          <w:i/>
          <w:iCs/>
          <w:color w:val="4C4C4C"/>
          <w:sz w:val="32"/>
          <w:szCs w:val="32"/>
          <w:lang w:val="fr-BE"/>
        </w:rPr>
        <w:tab/>
        <w:t xml:space="preserve">L’explosion du nombre d’inscriptions au jury central </w:t>
      </w:r>
      <w:r w:rsidR="00FE5AEA">
        <w:rPr>
          <w:rFonts w:ascii="Verdana" w:hAnsi="Verdana"/>
          <w:b/>
          <w:bCs/>
          <w:i/>
          <w:iCs/>
          <w:color w:val="4C4C4C"/>
          <w:sz w:val="32"/>
          <w:szCs w:val="32"/>
          <w:lang w:val="fr-BE"/>
        </w:rPr>
        <w:t>professionnel</w:t>
      </w:r>
    </w:p>
    <w:p w:rsidR="00A538F8" w:rsidRDefault="00A538F8" w:rsidP="00A538F8">
      <w:pPr>
        <w:spacing w:after="0"/>
        <w:rPr>
          <w:rFonts w:ascii="Verdana" w:hAnsi="Verdana"/>
          <w:b/>
          <w:bCs/>
          <w:i/>
          <w:iCs/>
          <w:color w:val="4C4C4C"/>
          <w:sz w:val="32"/>
          <w:szCs w:val="32"/>
          <w:lang w:val="fr-BE"/>
        </w:rPr>
      </w:pPr>
      <w:r>
        <w:rPr>
          <w:rFonts w:ascii="Verdana" w:hAnsi="Verdana"/>
          <w:b/>
          <w:bCs/>
          <w:i/>
          <w:iCs/>
          <w:color w:val="4C4C4C"/>
          <w:sz w:val="32"/>
          <w:szCs w:val="32"/>
          <w:lang w:val="fr-BE"/>
        </w:rPr>
        <w:tab/>
      </w:r>
    </w:p>
    <w:p w:rsidR="00A538F8" w:rsidRPr="00554F90" w:rsidRDefault="00A538F8" w:rsidP="00A538F8">
      <w:pPr>
        <w:spacing w:after="0"/>
        <w:rPr>
          <w:rFonts w:ascii="Verdana" w:hAnsi="Verdana"/>
          <w:bCs/>
          <w:iCs/>
          <w:color w:val="4C4C4C"/>
          <w:sz w:val="32"/>
          <w:szCs w:val="32"/>
          <w:lang w:val="fr-BE"/>
        </w:rPr>
      </w:pPr>
    </w:p>
    <w:p w:rsidR="00A538F8" w:rsidRDefault="00A538F8" w:rsidP="00A538F8">
      <w:p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Madame la</w:t>
      </w:r>
      <w:r w:rsidRPr="003A58F0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 Ministre, </w:t>
      </w:r>
    </w:p>
    <w:p w:rsidR="00A538F8" w:rsidRDefault="00A538F8" w:rsidP="00A538F8">
      <w:p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</w:p>
    <w:p w:rsidR="00A538F8" w:rsidRDefault="00A538F8" w:rsidP="00A538F8">
      <w:p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Pour les étudiants qui n’ont pas trouvé leur place dans un parcours scolaire classique, ou qui, pour une raison ou pour une autre</w:t>
      </w:r>
      <w:r w:rsidR="004E6174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,</w:t>
      </w: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 ont dû interrompre celui-ci, le jury central </w:t>
      </w:r>
      <w:r w:rsidR="00FE5AEA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professionnel </w:t>
      </w: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constitue une réelle alternative pour obtenir malgré tout </w:t>
      </w:r>
      <w:r w:rsidR="004E6174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le CESS. Alors qu’en 2004, ils n’étaient qu’une cinquantaine à avoir opté pour cette voie, l’année passée, c’est près de 500 élèves qui ont passé l’examen du jury c</w:t>
      </w:r>
      <w:r w:rsidR="00592575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entral professionnel. Soit une hausse annuelle de 10%</w:t>
      </w:r>
      <w:r w:rsidR="004E6174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…</w:t>
      </w:r>
    </w:p>
    <w:p w:rsidR="00223A7D" w:rsidRDefault="00223A7D" w:rsidP="00A538F8">
      <w:p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</w:p>
    <w:p w:rsidR="00223A7D" w:rsidRDefault="00223A7D" w:rsidP="00A538F8">
      <w:p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Un engouement des candidats qui peut être dû au niveau moins exigeant</w:t>
      </w:r>
      <w:r w:rsidR="00D66E72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 du programme</w:t>
      </w: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. En effet, il ne comporte qu’</w:t>
      </w:r>
      <w:r w:rsidR="00FE5AEA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une seule langue, </w:t>
      </w: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pas de mathématiques</w:t>
      </w:r>
      <w:r w:rsidR="00BE66B3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 et les candidats sont interrogés sur des matières générales et pratiques d’une 7</w:t>
      </w:r>
      <w:r w:rsidR="00BE66B3" w:rsidRPr="00BE66B3">
        <w:rPr>
          <w:rFonts w:ascii="Verdana" w:hAnsi="Verdana"/>
          <w:bCs/>
          <w:iCs/>
          <w:color w:val="000000" w:themeColor="text1"/>
          <w:sz w:val="24"/>
          <w:szCs w:val="24"/>
          <w:vertAlign w:val="superscript"/>
          <w:lang w:val="fr-BE"/>
        </w:rPr>
        <w:t>ème</w:t>
      </w:r>
      <w:r w:rsidR="00BE66B3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 professionnelle. P</w:t>
      </w: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our</w:t>
      </w:r>
      <w:r w:rsidR="00BE66B3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tant</w:t>
      </w: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 l’obtention d</w:t>
      </w:r>
      <w:r w:rsidR="00BE66B3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e ce diplôme ouvre</w:t>
      </w: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, depuis le décret de Bologne, les portes à des études supérieures et universitaires. </w:t>
      </w:r>
      <w:r w:rsidR="00BE66B3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Or, tout le problème est là : initialement le jury central n’a pas pour vocation de préparer l’élève à des études de type long. Et si certains peuvent </w:t>
      </w:r>
      <w:r w:rsidR="00FE5AEA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malgré tout y parvenir</w:t>
      </w:r>
      <w:r w:rsidR="00BE66B3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, ce n’est sans doute pas la majorité des cas.</w:t>
      </w:r>
    </w:p>
    <w:p w:rsidR="00BE66B3" w:rsidRDefault="00BE66B3" w:rsidP="00A538F8">
      <w:p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</w:p>
    <w:p w:rsidR="00BE66B3" w:rsidRDefault="009014D3" w:rsidP="00A538F8">
      <w:p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De nombreuses écoles privées se sont spécialisées dans la préparation à ce type de jury. Et, après un rapide regard sur les sites internet de certaines de ces écoles, il semble que certaines d’entre elles fassent miroiter à leurs futurs étudiants que l’</w:t>
      </w:r>
      <w:r w:rsidR="00D66E72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école les préparera solidement pour réussir un</w:t>
      </w: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 enseignement supérieur par la suite. Coût du minerval entre 1000 et 1200 euros par mois (il faut compter 8 mois de préparation</w:t>
      </w:r>
      <w:r w:rsidR="00D66E72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)</w:t>
      </w: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. </w:t>
      </w:r>
      <w:r w:rsidR="00FE5AEA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Ce qui est, n’ayons pas peur des mots, assez onéreux pour les parents. </w:t>
      </w:r>
    </w:p>
    <w:p w:rsidR="009014D3" w:rsidRDefault="009014D3" w:rsidP="00A538F8">
      <w:p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</w:p>
    <w:p w:rsidR="009014D3" w:rsidRDefault="009014D3" w:rsidP="00A538F8">
      <w:p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</w:p>
    <w:p w:rsidR="00BE66B3" w:rsidRDefault="00BE66B3" w:rsidP="00A538F8">
      <w:p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</w:p>
    <w:p w:rsidR="00BE66B3" w:rsidRDefault="00BE66B3" w:rsidP="00A538F8">
      <w:p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</w:p>
    <w:p w:rsidR="00BE66B3" w:rsidRDefault="00BE66B3" w:rsidP="00A538F8">
      <w:p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</w:p>
    <w:p w:rsidR="00BE66B3" w:rsidRDefault="00BE66B3" w:rsidP="00A538F8">
      <w:p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</w:p>
    <w:p w:rsidR="00592575" w:rsidRDefault="00592575" w:rsidP="00A538F8">
      <w:p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</w:p>
    <w:p w:rsidR="00592575" w:rsidRDefault="00FE5AEA" w:rsidP="00A538F8">
      <w:p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Madame la Ministre, j’en viens à mes questions : </w:t>
      </w:r>
    </w:p>
    <w:p w:rsidR="00FE5AEA" w:rsidRDefault="00FE5AEA" w:rsidP="00A538F8">
      <w:p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</w:p>
    <w:p w:rsidR="00FE5AEA" w:rsidRDefault="00FE5AEA" w:rsidP="00FE5AEA">
      <w:pPr>
        <w:pStyle w:val="Paragraphedeliste"/>
        <w:numPr>
          <w:ilvl w:val="0"/>
          <w:numId w:val="2"/>
        </w:num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Disposez-vous de chiffres concernant le nombre d’élèves qui entreprennent des études supérieures ou universitaires après avoir passé l’examen du Jury central professionnel ? Disposez-vous de chiffres concernant le pourcentage de réussite de ces élèves ? Pouvez-vous les mettre en perspective avec le taux de réussite d’élèves issus d’un parcours scolaire dit « classique » ?</w:t>
      </w:r>
    </w:p>
    <w:p w:rsidR="00FE5AEA" w:rsidRPr="00FE5AEA" w:rsidRDefault="00FE5AEA" w:rsidP="00FE5AEA">
      <w:pPr>
        <w:pStyle w:val="Paragraphedeliste"/>
        <w:numPr>
          <w:ilvl w:val="0"/>
          <w:numId w:val="2"/>
        </w:num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Enfin, avez-vous connaissance du problème </w:t>
      </w:r>
      <w:r w:rsidR="00D66E72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« </w:t>
      </w: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de poudre aux yeux</w:t>
      </w:r>
      <w:r w:rsidR="00D66E72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 »</w:t>
      </w: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 que donnent certaines écoles </w:t>
      </w:r>
      <w:r w:rsidR="00D66E72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privées spécialisées dans le jury central professionnel </w:t>
      </w: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aux futurs élèves poten</w:t>
      </w:r>
      <w:r w:rsidR="00D66E72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tiels quant à</w:t>
      </w: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 la réussite aux études supérieures </w:t>
      </w:r>
      <w:r w:rsidR="00D66E72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 xml:space="preserve">futures </w:t>
      </w:r>
      <w:r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? Dans l’affirmative, quels sont les moyens mis en place pour lutter contre ?</w:t>
      </w:r>
    </w:p>
    <w:p w:rsidR="00A538F8" w:rsidRPr="003A58F0" w:rsidRDefault="00A538F8" w:rsidP="00A538F8">
      <w:pPr>
        <w:pStyle w:val="Paragraphedeliste"/>
        <w:spacing w:after="0"/>
        <w:ind w:left="144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</w:p>
    <w:p w:rsidR="00A538F8" w:rsidRPr="003A58F0" w:rsidRDefault="00A538F8" w:rsidP="00A538F8">
      <w:pPr>
        <w:spacing w:after="0"/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</w:pPr>
      <w:r w:rsidRPr="003A58F0">
        <w:rPr>
          <w:rFonts w:ascii="Verdana" w:hAnsi="Verdana"/>
          <w:bCs/>
          <w:iCs/>
          <w:color w:val="000000" w:themeColor="text1"/>
          <w:sz w:val="24"/>
          <w:szCs w:val="24"/>
          <w:lang w:val="fr-BE"/>
        </w:rPr>
        <w:t>Je vous remercie.</w:t>
      </w:r>
    </w:p>
    <w:p w:rsidR="00A538F8" w:rsidRPr="003A58F0" w:rsidRDefault="00A538F8" w:rsidP="00A538F8">
      <w:pPr>
        <w:rPr>
          <w:color w:val="000000" w:themeColor="text1"/>
          <w:lang w:val="fr-BE"/>
        </w:rPr>
      </w:pPr>
      <w:r w:rsidRPr="003A58F0">
        <w:rPr>
          <w:color w:val="000000" w:themeColor="text1"/>
          <w:lang w:val="fr-BE"/>
        </w:rPr>
        <w:t xml:space="preserve"> </w:t>
      </w:r>
    </w:p>
    <w:p w:rsidR="00A538F8" w:rsidRPr="003A58F0" w:rsidRDefault="00A538F8" w:rsidP="00A538F8">
      <w:pPr>
        <w:rPr>
          <w:rFonts w:ascii="Verdana" w:hAnsi="Verdana"/>
          <w:color w:val="000000" w:themeColor="text1"/>
          <w:sz w:val="24"/>
          <w:szCs w:val="24"/>
          <w:lang w:val="fr-BE"/>
        </w:rPr>
      </w:pPr>
      <w:r w:rsidRPr="003A58F0">
        <w:rPr>
          <w:rFonts w:ascii="Verdana" w:hAnsi="Verdana"/>
          <w:color w:val="000000" w:themeColor="text1"/>
          <w:sz w:val="24"/>
          <w:szCs w:val="24"/>
          <w:lang w:val="fr-BE"/>
        </w:rPr>
        <w:t>Véronique Bonni, Députée.</w:t>
      </w:r>
    </w:p>
    <w:p w:rsidR="00A538F8" w:rsidRPr="003A58F0" w:rsidRDefault="00A538F8" w:rsidP="00A538F8">
      <w:pPr>
        <w:rPr>
          <w:color w:val="000000" w:themeColor="text1"/>
        </w:rPr>
      </w:pPr>
    </w:p>
    <w:p w:rsidR="00A538F8" w:rsidRPr="003A58F0" w:rsidRDefault="00A538F8" w:rsidP="00A538F8">
      <w:pPr>
        <w:rPr>
          <w:color w:val="000000" w:themeColor="text1"/>
        </w:rPr>
      </w:pPr>
    </w:p>
    <w:p w:rsidR="00A538F8" w:rsidRDefault="00A538F8" w:rsidP="00A538F8"/>
    <w:p w:rsidR="00A538F8" w:rsidRDefault="00A538F8" w:rsidP="00A538F8"/>
    <w:p w:rsidR="00A538F8" w:rsidRDefault="00A538F8" w:rsidP="00A538F8"/>
    <w:p w:rsidR="00A538F8" w:rsidRDefault="00A538F8" w:rsidP="00A538F8"/>
    <w:p w:rsidR="00A538F8" w:rsidRDefault="00A538F8" w:rsidP="00A538F8"/>
    <w:p w:rsidR="00A538F8" w:rsidRDefault="00A538F8" w:rsidP="00A538F8">
      <w:bookmarkStart w:id="0" w:name="_GoBack"/>
      <w:bookmarkEnd w:id="0"/>
    </w:p>
    <w:p w:rsidR="00A538F8" w:rsidRDefault="00A538F8" w:rsidP="00A538F8"/>
    <w:p w:rsidR="00A538F8" w:rsidRDefault="00A538F8" w:rsidP="00A538F8"/>
    <w:p w:rsidR="00A538F8" w:rsidRDefault="00A538F8" w:rsidP="00A538F8"/>
    <w:p w:rsidR="00A538F8" w:rsidRDefault="00A538F8" w:rsidP="00A538F8"/>
    <w:p w:rsidR="00A538F8" w:rsidRDefault="00A538F8" w:rsidP="00A538F8"/>
    <w:p w:rsidR="00A538F8" w:rsidRDefault="00A538F8" w:rsidP="00A538F8">
      <w:r w:rsidRPr="00C97B26">
        <w:rPr>
          <w:rFonts w:ascii="Helvetica" w:hAnsi="Helvetica" w:cs="Helvetica"/>
          <w:b/>
          <w:sz w:val="24"/>
        </w:rPr>
        <w:br/>
      </w:r>
      <w:r w:rsidRPr="00C97B26">
        <w:rPr>
          <w:rFonts w:ascii="Helvetica" w:hAnsi="Helvetica" w:cs="Helvetica"/>
          <w:sz w:val="24"/>
        </w:rPr>
        <w:br/>
      </w:r>
    </w:p>
    <w:p w:rsidR="00A538F8" w:rsidRDefault="00A538F8" w:rsidP="00A538F8"/>
    <w:p w:rsidR="008C4E4F" w:rsidRDefault="003B3033"/>
    <w:sectPr w:rsidR="008C4E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33" w:rsidRDefault="003B3033">
      <w:pPr>
        <w:spacing w:after="0"/>
      </w:pPr>
      <w:r>
        <w:separator/>
      </w:r>
    </w:p>
  </w:endnote>
  <w:endnote w:type="continuationSeparator" w:id="0">
    <w:p w:rsidR="003B3033" w:rsidRDefault="003B30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F9" w:rsidRDefault="003B30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F9" w:rsidRDefault="003B30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F9" w:rsidRDefault="003B30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33" w:rsidRDefault="003B3033">
      <w:pPr>
        <w:spacing w:after="0"/>
      </w:pPr>
      <w:r>
        <w:separator/>
      </w:r>
    </w:p>
  </w:footnote>
  <w:footnote w:type="continuationSeparator" w:id="0">
    <w:p w:rsidR="003B3033" w:rsidRDefault="003B30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F9" w:rsidRDefault="006F71F9">
    <w:pPr>
      <w:pStyle w:val="En-tte"/>
      <w:rPr>
        <w:rFonts w:ascii="Verdana" w:hAnsi="Verdana" w:cs="Arial"/>
        <w:b/>
        <w:bCs/>
        <w:color w:val="333333"/>
        <w:sz w:val="24"/>
        <w:szCs w:val="24"/>
      </w:rPr>
    </w:pPr>
    <w:r>
      <w:rPr>
        <w:noProof/>
        <w:lang w:val="fr-BE" w:eastAsia="fr-BE"/>
      </w:rPr>
      <w:drawing>
        <wp:anchor distT="0" distB="0" distL="114935" distR="114935" simplePos="0" relativeHeight="251659264" behindDoc="0" locked="0" layoutInCell="1" allowOverlap="1" wp14:anchorId="0110F5A2" wp14:editId="02ABE60D">
          <wp:simplePos x="0" y="0"/>
          <wp:positionH relativeFrom="column">
            <wp:posOffset>3175</wp:posOffset>
          </wp:positionH>
          <wp:positionV relativeFrom="paragraph">
            <wp:posOffset>-3175</wp:posOffset>
          </wp:positionV>
          <wp:extent cx="889000" cy="855345"/>
          <wp:effectExtent l="0" t="0" r="6350" b="190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5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Verdana" w:hAnsi="Verdana" w:cs="Arial"/>
        <w:b/>
        <w:bCs/>
        <w:color w:val="333333"/>
        <w:sz w:val="24"/>
        <w:szCs w:val="24"/>
      </w:rPr>
      <w:t xml:space="preserve">Groupe Socialiste </w:t>
    </w:r>
  </w:p>
  <w:p w:rsidR="006F4BF9" w:rsidRDefault="003B3033">
    <w:pPr>
      <w:pStyle w:val="En-tte"/>
      <w:rPr>
        <w:sz w:val="14"/>
        <w:szCs w:val="15"/>
      </w:rPr>
    </w:pPr>
  </w:p>
  <w:p w:rsidR="006F4BF9" w:rsidRDefault="006F71F9">
    <w:pPr>
      <w:tabs>
        <w:tab w:val="left" w:pos="3969"/>
      </w:tabs>
      <w:jc w:val="right"/>
      <w:rPr>
        <w:rFonts w:ascii="Verdana" w:hAnsi="Verdana" w:cs="Arial"/>
        <w:b/>
        <w:bCs/>
        <w:i/>
        <w:iCs/>
        <w:color w:val="B3B3B3"/>
        <w:sz w:val="22"/>
        <w:szCs w:val="22"/>
      </w:rPr>
    </w:pPr>
    <w:r>
      <w:rPr>
        <w:rFonts w:ascii="Verdana" w:hAnsi="Verdana" w:cs="Arial"/>
        <w:b/>
        <w:bCs/>
        <w:i/>
        <w:iCs/>
        <w:color w:val="B3B3B3"/>
        <w:sz w:val="22"/>
        <w:szCs w:val="22"/>
      </w:rPr>
      <w:t>Parlement de la Fédération Wallonie-Bruxelles</w:t>
    </w:r>
  </w:p>
  <w:p w:rsidR="006F4BF9" w:rsidRDefault="003B3033">
    <w:pPr>
      <w:tabs>
        <w:tab w:val="left" w:pos="3969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F9" w:rsidRDefault="003B30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A6E"/>
    <w:multiLevelType w:val="hybridMultilevel"/>
    <w:tmpl w:val="EC52C192"/>
    <w:lvl w:ilvl="0" w:tplc="64C8B6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4A0F"/>
    <w:multiLevelType w:val="hybridMultilevel"/>
    <w:tmpl w:val="9DDA387A"/>
    <w:lvl w:ilvl="0" w:tplc="F808D7A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F8"/>
    <w:rsid w:val="00053974"/>
    <w:rsid w:val="001351F4"/>
    <w:rsid w:val="00223A7D"/>
    <w:rsid w:val="003B3033"/>
    <w:rsid w:val="004E6174"/>
    <w:rsid w:val="00592575"/>
    <w:rsid w:val="006F71F9"/>
    <w:rsid w:val="009014D3"/>
    <w:rsid w:val="00A538F8"/>
    <w:rsid w:val="00BE66B3"/>
    <w:rsid w:val="00D66E72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A021"/>
  <w15:chartTrackingRefBased/>
  <w15:docId w15:val="{6E279901-AA51-4B3E-86A6-06A14F10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F8"/>
    <w:pPr>
      <w:suppressAutoHyphens/>
      <w:spacing w:after="120" w:line="240" w:lineRule="auto"/>
      <w:jc w:val="both"/>
    </w:pPr>
    <w:rPr>
      <w:rFonts w:ascii="Garamond" w:eastAsia="Times New Roman" w:hAnsi="Garamond" w:cs="Times"/>
      <w:sz w:val="28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538F8"/>
    <w:pPr>
      <w:spacing w:before="80" w:after="80"/>
      <w:jc w:val="right"/>
    </w:pPr>
    <w:rPr>
      <w:sz w:val="20"/>
    </w:rPr>
  </w:style>
  <w:style w:type="character" w:customStyle="1" w:styleId="En-tteCar">
    <w:name w:val="En-tête Car"/>
    <w:basedOn w:val="Policepardfaut"/>
    <w:link w:val="En-tte"/>
    <w:rsid w:val="00A538F8"/>
    <w:rPr>
      <w:rFonts w:ascii="Garamond" w:eastAsia="Times New Roman" w:hAnsi="Garamond" w:cs="Times"/>
      <w:sz w:val="20"/>
      <w:szCs w:val="20"/>
      <w:lang w:val="fr-FR" w:eastAsia="ar-SA"/>
    </w:rPr>
  </w:style>
  <w:style w:type="paragraph" w:customStyle="1" w:styleId="Contenuducadre">
    <w:name w:val="Contenu du cadre"/>
    <w:basedOn w:val="Corpsdetexte"/>
    <w:rsid w:val="00A538F8"/>
    <w:pPr>
      <w:spacing w:after="0"/>
      <w:jc w:val="left"/>
    </w:pPr>
    <w:rPr>
      <w:b/>
      <w:bCs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A538F8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538F8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538F8"/>
    <w:rPr>
      <w:rFonts w:ascii="Garamond" w:eastAsia="Times New Roman" w:hAnsi="Garamond" w:cs="Times"/>
      <w:sz w:val="28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2016-01-22T12:18:00Z</dcterms:created>
  <dcterms:modified xsi:type="dcterms:W3CDTF">2016-01-25T15:15:00Z</dcterms:modified>
</cp:coreProperties>
</file>